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470" w:rsidRDefault="00E85470" w:rsidP="00A8792D">
      <w:pPr>
        <w:spacing w:line="480" w:lineRule="auto"/>
        <w:jc w:val="center"/>
      </w:pPr>
      <w:r>
        <w:t>Приложе</w:t>
      </w:r>
      <w:r w:rsidR="00A8792D">
        <w:t xml:space="preserve">ние №    к </w:t>
      </w:r>
      <w:proofErr w:type="gramStart"/>
      <w:r w:rsidR="00A8792D">
        <w:t>приказу  заведующей</w:t>
      </w:r>
      <w:proofErr w:type="gramEnd"/>
      <w:r w:rsidR="00A8792D">
        <w:t xml:space="preserve"> МБДОУ «Улыбка» </w:t>
      </w:r>
      <w:proofErr w:type="spellStart"/>
      <w:r>
        <w:t>Ахвахского</w:t>
      </w:r>
      <w:proofErr w:type="spellEnd"/>
      <w:r>
        <w:t xml:space="preserve"> района   от 00.00.2017г. №</w:t>
      </w:r>
    </w:p>
    <w:p w:rsidR="00E85470" w:rsidRDefault="00E85470" w:rsidP="00A8792D">
      <w:pPr>
        <w:spacing w:line="480" w:lineRule="auto"/>
      </w:pPr>
      <w:r>
        <w:t>Оценка коррупционных рисков деятельности МБ</w:t>
      </w:r>
      <w:r w:rsidR="00A8792D">
        <w:t>Д</w:t>
      </w:r>
      <w:r>
        <w:t>ОУ</w:t>
      </w:r>
      <w:r w:rsidR="00A8792D">
        <w:t xml:space="preserve"> «Улыбка» </w:t>
      </w:r>
      <w:proofErr w:type="spellStart"/>
      <w:r>
        <w:t>Ахвахского</w:t>
      </w:r>
      <w:proofErr w:type="spellEnd"/>
      <w:r>
        <w:t xml:space="preserve"> района</w:t>
      </w:r>
    </w:p>
    <w:p w:rsidR="00E85470" w:rsidRDefault="00E85470" w:rsidP="00E85470">
      <w:r>
        <w:t xml:space="preserve">Общие положения                                                                                                                                                                 1.1. Оценка коррупционных рисков является важнейшим элементом антикоррупционной политики Муниципального бюджетного  общеобразовательного учреждения </w:t>
      </w:r>
      <w:r w:rsidR="00A8792D">
        <w:t>«</w:t>
      </w:r>
      <w:proofErr w:type="spellStart"/>
      <w:r w:rsidR="00A8792D">
        <w:t>Цолодинский</w:t>
      </w:r>
      <w:proofErr w:type="spellEnd"/>
      <w:r w:rsidR="00A8792D">
        <w:t xml:space="preserve"> детский сад «Улыбка»</w:t>
      </w:r>
      <w:r>
        <w:t xml:space="preserve"> - Учреждение), позволяющая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                                                                                                                                                      1.2. </w:t>
      </w:r>
      <w:r w:rsidR="00A8792D">
        <w:t xml:space="preserve">    </w:t>
      </w:r>
      <w:r>
        <w:t>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E85470" w:rsidRDefault="00E85470" w:rsidP="00E85470">
      <w:r>
        <w:t xml:space="preserve"> 2. Порядок оценки коррупционных рисков                                                                                                                   2.1. Оценка коррупционных рисков проводится на регулярной основе, ежегодно, в I квартале текущего календарного года.                                                                                                                                             2.2. Порядок проведения оценки коррупционных рисков:                                                                                             2.2.1. деятельность Учреждения представляется в виде отдельных процессов, в каждом из которых выделяются составные элементы-</w:t>
      </w:r>
      <w:r w:rsidR="00A8792D">
        <w:t xml:space="preserve"> </w:t>
      </w:r>
      <w:proofErr w:type="spellStart"/>
      <w:proofErr w:type="gramStart"/>
      <w:r>
        <w:t>подпроцессы</w:t>
      </w:r>
      <w:proofErr w:type="spellEnd"/>
      <w:r>
        <w:t xml:space="preserve"> ;</w:t>
      </w:r>
      <w:proofErr w:type="gramEnd"/>
      <w:r>
        <w:t xml:space="preserve">                                                                                                             2.2.2. выделяются «критические точки» для каждого процесса и определяются те элементы, при реализации которых наиболее вероятно возникновение коррупционных </w:t>
      </w:r>
      <w:proofErr w:type="gramStart"/>
      <w:r>
        <w:t xml:space="preserve">правонарушений;   </w:t>
      </w:r>
      <w:proofErr w:type="gramEnd"/>
      <w:r>
        <w:t xml:space="preserve">                   2.2.3. для каждого </w:t>
      </w:r>
      <w:proofErr w:type="spellStart"/>
      <w:r>
        <w:t>подпроцесса</w:t>
      </w:r>
      <w:proofErr w:type="spellEnd"/>
      <w:r>
        <w:t xml:space="preserve">, реализация которого связана с коррупционным риском, составить описание возможных коррупционных правонарушений, включающее:                                                       - характеристику выгоды или преимущества, которое может быть получено Учреждением или его отдельными работниками при совершении «коррупционного правонарушения»;                                                       - должности в Учреждении, которые являются «ключевыми» для совершения коррупционного правонарушения;                                                                                                                                                                                   - участие каких должностных лиц Учреждения необходимо, чтобы совершение коррупционного правонарушения стало возможным;                                                                                                                                            - вероятные формы осуществления коррупционных платежей.                                                                                        2.3. На основании проведенного анализа подготовить «карту коррупционных рисков Учреждения» - сводное описание «критических точек» и возможных коррупционных правонарушений.                               2.4. Разработать комплекс мер по устранению или минимизации коррупционных рисков. </w:t>
      </w:r>
    </w:p>
    <w:p w:rsidR="00E85470" w:rsidRDefault="00E85470" w:rsidP="00E85470">
      <w:r>
        <w:t>3. Карта коррупционных рисков                                                                                                                                       3.1. В Карте коррупционных рисков (далее - Карта) представлены зоны повышенного коррупционного риска (</w:t>
      </w:r>
      <w:proofErr w:type="spellStart"/>
      <w:r>
        <w:t>коррупционно</w:t>
      </w:r>
      <w:proofErr w:type="spellEnd"/>
      <w:r>
        <w:t>-опасные полномочия), считающиеся наиболее предрасполагающими к возникновению возможных коррупционных правонарушений.                                             3.2. В Карте указан перечень должностей, связанных с определенной зоной повышенного коррупционного риска (</w:t>
      </w:r>
      <w:proofErr w:type="spellStart"/>
      <w:r>
        <w:t>коррупционно</w:t>
      </w:r>
      <w:proofErr w:type="spellEnd"/>
      <w:r>
        <w:t xml:space="preserve">-опасными полномочиями).                                                                        3.3. В Карте представлены типовые ситуации, характеризующие выгоды или преимущества, которые могут быть получены отдельными работниками при совершении «коррупционного правонарушения» .                                                                                                                                                                           </w:t>
      </w:r>
      <w:r>
        <w:lastRenderedPageBreak/>
        <w:t>3.4. По каждой зоне повышенного коррупционного риска (</w:t>
      </w:r>
      <w:proofErr w:type="spellStart"/>
      <w:r>
        <w:t>коррупционно</w:t>
      </w:r>
      <w:proofErr w:type="spellEnd"/>
      <w:r w:rsidR="00A8792D">
        <w:t xml:space="preserve"> </w:t>
      </w:r>
      <w:r>
        <w:t>-</w:t>
      </w:r>
      <w:r w:rsidR="00A8792D">
        <w:t xml:space="preserve"> </w:t>
      </w:r>
      <w:r>
        <w:t xml:space="preserve">опасных полномочий) предложены меры по устранению или минимизации </w:t>
      </w:r>
      <w:proofErr w:type="spellStart"/>
      <w:proofErr w:type="gramStart"/>
      <w:r>
        <w:t>коррупционно</w:t>
      </w:r>
      <w:proofErr w:type="spellEnd"/>
      <w:r w:rsidR="00A8792D">
        <w:t xml:space="preserve">  </w:t>
      </w:r>
      <w:r>
        <w:t>-</w:t>
      </w:r>
      <w:proofErr w:type="gramEnd"/>
      <w:r w:rsidR="00A8792D">
        <w:t xml:space="preserve"> </w:t>
      </w:r>
      <w:r>
        <w:t xml:space="preserve">опасных функций. </w:t>
      </w:r>
    </w:p>
    <w:p w:rsidR="001D5E6E" w:rsidRDefault="001D5E6E" w:rsidP="001D5E6E">
      <w:r>
        <w:t>Пр</w:t>
      </w:r>
      <w:r w:rsidR="00A8792D">
        <w:t xml:space="preserve">иложение №   к </w:t>
      </w:r>
      <w:proofErr w:type="gramStart"/>
      <w:r w:rsidR="00A8792D">
        <w:t>приказу  заведующей</w:t>
      </w:r>
      <w:proofErr w:type="gramEnd"/>
      <w:r>
        <w:t xml:space="preserve"> </w:t>
      </w:r>
      <w:r w:rsidR="00A8792D">
        <w:t xml:space="preserve">МБДОУ  </w:t>
      </w:r>
      <w:bookmarkStart w:id="0" w:name="_GoBack"/>
      <w:bookmarkEnd w:id="0"/>
      <w:r w:rsidR="00A8792D">
        <w:t xml:space="preserve">»Улыбка» </w:t>
      </w:r>
      <w:proofErr w:type="spellStart"/>
      <w:r>
        <w:t>Ахвахского</w:t>
      </w:r>
      <w:proofErr w:type="spellEnd"/>
      <w:r>
        <w:t xml:space="preserve"> района   от 00.00.2017г. №  </w:t>
      </w:r>
    </w:p>
    <w:p w:rsidR="001D5E6E" w:rsidRDefault="001D5E6E" w:rsidP="00E85470"/>
    <w:p w:rsidR="00E85470" w:rsidRDefault="00E85470" w:rsidP="00E85470">
      <w:r>
        <w:t>Зоны повышенного коррупционного риска (</w:t>
      </w:r>
      <w:proofErr w:type="spellStart"/>
      <w:r>
        <w:t>коррупционно</w:t>
      </w:r>
      <w:proofErr w:type="spellEnd"/>
      <w:r w:rsidR="00A8792D">
        <w:t xml:space="preserve"> </w:t>
      </w:r>
      <w:r>
        <w:t>-</w:t>
      </w:r>
      <w:r w:rsidR="00A8792D">
        <w:t xml:space="preserve"> </w:t>
      </w:r>
      <w:r>
        <w:t xml:space="preserve">опасные полномочия) </w:t>
      </w:r>
    </w:p>
    <w:p w:rsidR="003C7599" w:rsidRPr="003C7599" w:rsidRDefault="00E85470" w:rsidP="001D5E6E">
      <w:pPr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t xml:space="preserve">                                                                                                                                                      </w:t>
      </w:r>
      <w:r w:rsidR="001D5E6E">
        <w:rPr>
          <w:rFonts w:ascii="Arial" w:eastAsia="Times New Roman" w:hAnsi="Arial" w:cs="Arial"/>
          <w:color w:val="333333"/>
          <w:sz w:val="19"/>
          <w:szCs w:val="19"/>
          <w:lang w:eastAsia="ru-RU"/>
        </w:rPr>
        <w:t xml:space="preserve"> 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3C7599" w:rsidRPr="003C7599" w:rsidRDefault="003C7599" w:rsidP="003C7599">
      <w:pPr>
        <w:shd w:val="clear" w:color="auto" w:fill="FFFFFF"/>
        <w:spacing w:after="0" w:line="40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Перечень должностей, замещение  которых связано с коррупционными риска</w:t>
      </w: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ми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1. Директор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2. Заместители директора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3. Главный бухгалтер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4. Заведующий библиотекой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5. Педагог - психолог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6. Социальный педагог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7. Кладовщик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8. Учитель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 xml:space="preserve">9. </w:t>
      </w:r>
      <w:proofErr w:type="spellStart"/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Документовед</w:t>
      </w:r>
      <w:proofErr w:type="spellEnd"/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10.Специалист по кадрам</w:t>
      </w:r>
    </w:p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3C7599" w:rsidRPr="003C7599" w:rsidRDefault="003C7599" w:rsidP="003C7599">
      <w:pPr>
        <w:shd w:val="clear" w:color="auto" w:fill="FFFFFF"/>
        <w:spacing w:after="0" w:line="40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Зоны повышенного коррупционного риска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005"/>
        <w:gridCol w:w="6026"/>
      </w:tblGrid>
      <w:tr w:rsidR="003C7599" w:rsidRPr="003C7599" w:rsidTr="003C759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Зоны повышенного коррупционного риска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зоны коррупционного риска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производственной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 -использование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родственников;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-использование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Размещение заказов на поставку товаров, выполнение работ и </w:t>
            </w: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оказание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-отказ от проведения мониторинга цен на товары и услуги;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-предоставление заведомо ложных сведений о </w:t>
            </w: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проведении мониторинга цен на товары и услуги;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-размещение заказов ответственным лицом на поставку товаров и оказание услуг из ограниченного числа поставщиков именно в той организации,  руководителем отдела продаж  которой является его родственник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Регистрация имущества и ведение баз данных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-несвоевременная постановка на регистрационный учёт имущества;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-умышленно досрочное списание материальных средств и расходных материалов с регистрационного учёта;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-отсутствие регулярного контроля наличия и сохранности имущества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Принятие на работу сотрудника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-предоставление не предусмотренных законом преимуществ (протекционизм, семейственность) для поступления на работу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Обращения юридических,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-требование от физических и юридических лиц информации, предоставление которой не предусмотрено действующим законодательством;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-нарушение установленного порядка рассмотрения обращений  граждан, организаций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Взаимоотношения с вышестоящими должностными лицами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-дарение подарков и оказание не служебных услуг вышестоящим должностным лицам, за исключением символических знаков внимания, протокольных мероприятий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Составление, заполнение документов, справок, отчетности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-искажение, сокрытие или предоставление заведомо ложных сведений в отчётных документах, справках гражданам, являющихся существенным элементом служебной деятельности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со служебной информацией, документами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-попытка несанкционированного доступа к информационным ресурсам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аттестации педагогических сотрудников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-необъективная оценка деятельности педагогических работников, завышение результативности труда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-оплата рабочего времени в полном объёме в случае, когда сотрудник фактически отсутствовал на рабочем месте</w:t>
            </w:r>
          </w:p>
        </w:tc>
      </w:tr>
      <w:tr w:rsidR="003C7599" w:rsidRPr="003C7599" w:rsidTr="003C759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Аттестация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-необъективность в выставлении оценки, завышение оценочных баллов для искусственного поддержания видимости успеваемости, ЗУН;</w:t>
            </w:r>
          </w:p>
          <w:p w:rsidR="003C7599" w:rsidRPr="003C7599" w:rsidRDefault="003C7599" w:rsidP="003C759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75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-завышение оценочных баллов за вознаграждение или оказание услуг со стороны обучающихся либо их родителей (законных представителей)</w:t>
            </w:r>
          </w:p>
        </w:tc>
      </w:tr>
    </w:tbl>
    <w:p w:rsidR="003C7599" w:rsidRPr="003C7599" w:rsidRDefault="003C7599" w:rsidP="003C7599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3C7599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F00EBA" w:rsidRDefault="00F00EBA"/>
    <w:sectPr w:rsidR="00F0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99"/>
    <w:rsid w:val="001D5E6E"/>
    <w:rsid w:val="003C7599"/>
    <w:rsid w:val="00A8792D"/>
    <w:rsid w:val="00B04350"/>
    <w:rsid w:val="00E85470"/>
    <w:rsid w:val="00F0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9E484-3698-49EE-A0DF-A08D6C30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7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Раисат</cp:lastModifiedBy>
  <cp:revision>3</cp:revision>
  <cp:lastPrinted>2018-02-22T18:24:00Z</cp:lastPrinted>
  <dcterms:created xsi:type="dcterms:W3CDTF">2017-11-14T13:28:00Z</dcterms:created>
  <dcterms:modified xsi:type="dcterms:W3CDTF">2018-02-22T18:24:00Z</dcterms:modified>
</cp:coreProperties>
</file>